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7711A0" w:rsidRDefault="007711A0" w:rsidP="00F301D2">
      <w:pPr>
        <w:spacing w:after="0" w:line="240" w:lineRule="auto"/>
        <w:jc w:val="both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>.</w:t>
      </w:r>
      <w:r w:rsidR="005F73DA" w:rsidRPr="005F73DA">
        <w:t xml:space="preserve"> </w:t>
      </w:r>
      <w:r w:rsidR="00F301D2">
        <w:t>Muestra en el segundo</w:t>
      </w:r>
      <w:r w:rsidR="005F73DA">
        <w:t xml:space="preserve"> trimestre de su ejercicio fiscal </w:t>
      </w:r>
      <w:proofErr w:type="gramStart"/>
      <w:r w:rsidR="005F73DA">
        <w:t xml:space="preserve">2022 </w:t>
      </w:r>
      <w:r>
        <w:t xml:space="preserve"> un</w:t>
      </w:r>
      <w:proofErr w:type="gramEnd"/>
      <w:r>
        <w:t xml:space="preserve">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5F73DA" w:rsidRDefault="005F73D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F301D2" w:rsidP="00E0751D">
      <w:pPr>
        <w:spacing w:after="0" w:line="240" w:lineRule="auto"/>
      </w:pPr>
      <w:r>
        <w:t>Se informará al 30</w:t>
      </w:r>
      <w:r w:rsidR="004205F9">
        <w:t xml:space="preserve"> </w:t>
      </w:r>
      <w:r w:rsidR="00642CDA">
        <w:t>de</w:t>
      </w:r>
      <w:r w:rsidR="00B325C9">
        <w:t xml:space="preserve"> </w:t>
      </w:r>
      <w:r w:rsidR="005A042F">
        <w:t>septiembre</w:t>
      </w:r>
      <w:r w:rsidR="0005331E">
        <w:t xml:space="preserve"> 2022</w:t>
      </w:r>
      <w:r w:rsidR="0097085D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1672"/>
        <w:gridCol w:w="1672"/>
        <w:gridCol w:w="1672"/>
      </w:tblGrid>
      <w:tr w:rsidR="005A042F" w:rsidRPr="005A042F" w:rsidTr="005A042F">
        <w:trPr>
          <w:trHeight w:val="900"/>
        </w:trPr>
        <w:tc>
          <w:tcPr>
            <w:tcW w:w="10640" w:type="dxa"/>
            <w:gridSpan w:val="4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SISTEMA PARA EL DESARROLLO INTEGRAL DE LA FAMILIA DE SAN LUIS PAZ, GTO.</w:t>
            </w:r>
            <w:r w:rsidRPr="005A042F">
              <w:rPr>
                <w:b/>
                <w:bCs/>
              </w:rPr>
              <w:br/>
              <w:t>ESTADO ANALÍTICO DEL EJERCICIO DEL PRESUPUESTO DE EGRESOS POR OBJETO</w:t>
            </w:r>
            <w:r>
              <w:rPr>
                <w:b/>
                <w:bCs/>
              </w:rPr>
              <w:t xml:space="preserve"> DEL GASTO </w:t>
            </w:r>
            <w:r w:rsidRPr="005A042F">
              <w:rPr>
                <w:b/>
                <w:bCs/>
              </w:rPr>
              <w:br/>
              <w:t xml:space="preserve"> AL 30 DE SEPTIEMBRE DEL 2022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</w:tr>
      <w:tr w:rsidR="005A042F" w:rsidRPr="005A042F" w:rsidTr="005A042F">
        <w:trPr>
          <w:trHeight w:val="499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Concepto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Aprobado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Devengado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Pagado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  <w:tc>
          <w:tcPr>
            <w:tcW w:w="1885" w:type="dxa"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 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Servicios Personales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9,493,654.02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5,986,140.16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5,986,140.16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Materiales Y Suministros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1,090,949.86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492,100.25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492,100.25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Servicios Generales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1,431,183.27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639,642.28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639,642.28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Transferencias, Asignaciones, Subsidios Y Otras Ayudas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180,000.00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66,728.56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66,728.56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Bienes Muebles, Inmuebles E Intangibles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620,461.52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297,574.45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297,574.45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Inversión Pública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Inversiones Financieras Y Otras Provisiones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Participaciones Y Aportaciones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165,000.00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70,860.00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70,860.00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Deuda Pública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r w:rsidRPr="005A042F">
              <w:t>0.00</w:t>
            </w:r>
          </w:p>
        </w:tc>
      </w:tr>
      <w:tr w:rsidR="005A042F" w:rsidRPr="005A042F" w:rsidTr="005A042F">
        <w:trPr>
          <w:trHeight w:val="225"/>
        </w:trPr>
        <w:tc>
          <w:tcPr>
            <w:tcW w:w="49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Total del Gasto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12,981,248.67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7,553,045.70</w:t>
            </w:r>
          </w:p>
        </w:tc>
        <w:tc>
          <w:tcPr>
            <w:tcW w:w="1885" w:type="dxa"/>
            <w:noWrap/>
            <w:hideMark/>
          </w:tcPr>
          <w:p w:rsidR="005A042F" w:rsidRPr="005A042F" w:rsidRDefault="005A042F" w:rsidP="005A042F">
            <w:pPr>
              <w:rPr>
                <w:b/>
                <w:bCs/>
              </w:rPr>
            </w:pPr>
            <w:r w:rsidRPr="005A042F">
              <w:rPr>
                <w:b/>
                <w:bCs/>
              </w:rPr>
              <w:t>7,553,045.70</w:t>
            </w:r>
          </w:p>
        </w:tc>
      </w:tr>
    </w:tbl>
    <w:p w:rsidR="005A042F" w:rsidRDefault="005A042F" w:rsidP="00E0751D">
      <w:pPr>
        <w:spacing w:after="0" w:line="240" w:lineRule="auto"/>
      </w:pPr>
    </w:p>
    <w:p w:rsidR="005A042F" w:rsidRDefault="005A042F" w:rsidP="00E0751D">
      <w:pPr>
        <w:spacing w:after="0" w:line="240" w:lineRule="auto"/>
      </w:pPr>
    </w:p>
    <w:p w:rsidR="005A042F" w:rsidRDefault="005A042F" w:rsidP="00E0751D">
      <w:pPr>
        <w:spacing w:after="0" w:line="240" w:lineRule="auto"/>
      </w:pPr>
    </w:p>
    <w:p w:rsidR="005A042F" w:rsidRDefault="005A042F" w:rsidP="00E0751D">
      <w:pPr>
        <w:spacing w:after="0" w:line="240" w:lineRule="auto"/>
      </w:pPr>
    </w:p>
    <w:p w:rsidR="005A042F" w:rsidRDefault="005A042F" w:rsidP="00E0751D">
      <w:pPr>
        <w:spacing w:after="0" w:line="240" w:lineRule="auto"/>
      </w:pPr>
    </w:p>
    <w:p w:rsidR="0074560D" w:rsidRDefault="0074560D" w:rsidP="00E0751D">
      <w:pPr>
        <w:spacing w:after="0" w:line="240" w:lineRule="auto"/>
      </w:pPr>
    </w:p>
    <w:p w:rsidR="00F1025D" w:rsidRDefault="00F1025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2F" w:rsidRPr="005A042F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BD437D" w:rsidP="0012031E">
    <w:pPr>
      <w:pStyle w:val="Encabezado"/>
      <w:jc w:val="center"/>
    </w:pPr>
    <w:r>
      <w:t xml:space="preserve">CORRESPONDINTE </w:t>
    </w:r>
    <w:r w:rsidR="001F72F6">
      <w:t>AL</w:t>
    </w:r>
    <w:r w:rsidR="00F301D2">
      <w:t xml:space="preserve"> </w:t>
    </w:r>
    <w:r w:rsidR="004F22AB">
      <w:t>3er</w:t>
    </w:r>
    <w:r w:rsidR="0005331E">
      <w:t xml:space="preserve"> TRIMESTRE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5887"/>
    <w:rsid w:val="00050CF4"/>
    <w:rsid w:val="0005331E"/>
    <w:rsid w:val="00096112"/>
    <w:rsid w:val="000A746E"/>
    <w:rsid w:val="0012031E"/>
    <w:rsid w:val="00171518"/>
    <w:rsid w:val="001F72F6"/>
    <w:rsid w:val="002E2173"/>
    <w:rsid w:val="002F73E1"/>
    <w:rsid w:val="003344AC"/>
    <w:rsid w:val="003352DD"/>
    <w:rsid w:val="003D6825"/>
    <w:rsid w:val="004205F9"/>
    <w:rsid w:val="00435760"/>
    <w:rsid w:val="00442140"/>
    <w:rsid w:val="00445610"/>
    <w:rsid w:val="00483D38"/>
    <w:rsid w:val="004C23EA"/>
    <w:rsid w:val="004C282B"/>
    <w:rsid w:val="004E741B"/>
    <w:rsid w:val="004F22AB"/>
    <w:rsid w:val="00516097"/>
    <w:rsid w:val="005A042F"/>
    <w:rsid w:val="005D5CE3"/>
    <w:rsid w:val="005F73DA"/>
    <w:rsid w:val="00642CDA"/>
    <w:rsid w:val="006954E3"/>
    <w:rsid w:val="006B3445"/>
    <w:rsid w:val="006D779B"/>
    <w:rsid w:val="007019EE"/>
    <w:rsid w:val="0074560D"/>
    <w:rsid w:val="007568F7"/>
    <w:rsid w:val="007711A0"/>
    <w:rsid w:val="007771DB"/>
    <w:rsid w:val="00784CB7"/>
    <w:rsid w:val="009208D5"/>
    <w:rsid w:val="00940570"/>
    <w:rsid w:val="00942783"/>
    <w:rsid w:val="0096159D"/>
    <w:rsid w:val="0097085D"/>
    <w:rsid w:val="00975976"/>
    <w:rsid w:val="009870B6"/>
    <w:rsid w:val="00A23A52"/>
    <w:rsid w:val="00A827B2"/>
    <w:rsid w:val="00A95F4D"/>
    <w:rsid w:val="00AF3F0C"/>
    <w:rsid w:val="00AF5CAD"/>
    <w:rsid w:val="00B01BDA"/>
    <w:rsid w:val="00B262AB"/>
    <w:rsid w:val="00B325C9"/>
    <w:rsid w:val="00B41404"/>
    <w:rsid w:val="00B64138"/>
    <w:rsid w:val="00B84415"/>
    <w:rsid w:val="00BD3C26"/>
    <w:rsid w:val="00BD437D"/>
    <w:rsid w:val="00BE0DA0"/>
    <w:rsid w:val="00C13BE0"/>
    <w:rsid w:val="00C42FF2"/>
    <w:rsid w:val="00C56C4B"/>
    <w:rsid w:val="00D05E84"/>
    <w:rsid w:val="00D8411F"/>
    <w:rsid w:val="00DA31B4"/>
    <w:rsid w:val="00E023AD"/>
    <w:rsid w:val="00E0751D"/>
    <w:rsid w:val="00E2163A"/>
    <w:rsid w:val="00E321B7"/>
    <w:rsid w:val="00E86A73"/>
    <w:rsid w:val="00F1025D"/>
    <w:rsid w:val="00F301D2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1B61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Desayunos</cp:lastModifiedBy>
  <cp:revision>57</cp:revision>
  <cp:lastPrinted>2022-04-27T13:43:00Z</cp:lastPrinted>
  <dcterms:created xsi:type="dcterms:W3CDTF">2019-04-10T19:20:00Z</dcterms:created>
  <dcterms:modified xsi:type="dcterms:W3CDTF">2022-10-26T17:51:00Z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